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BUSINESS ASSOCIATE AGREEMENT (BAA)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a starting point for a covered entity and business associate documenting HIPAA-required obligations for protected health information.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business associate (baa)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Business Associate Agreement (BAA)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Business Associate Agreement is entered into by and between </w:t>
      </w:r>
      <w:r>
        <w:rPr>
          <w:rFonts w:ascii="Calibri" w:hAnsi="Calibri"/>
          <w:sz w:val="22"/>
          <w:highlight w:val="yellow"/>
        </w:rPr>
        <w:t>[Covered Entity]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[Business Associate]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have entered into an underlying agreement under which Business Associate may create, receive, maintain, or transmit Protected Health Information on behalf of Covered Entity.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Definitions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Capitalized terms not defined in this Agreement have the meanings given to them under HIPAA, including 45 C.F.R. Parts 160 and 164.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Uses and Disclosures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Business Associate may use or disclose PHI only as necessary to perform services for Covered Entity, as permitted by this Agreement, or as required by law.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Safeguards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Business Associate will implement appropriate administrative, physical, and technical safeguards designed to protect PHI from unauthorized use or disclosure.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Breach Notification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Business Associate will notify Covered Entity without unreasonable delay after discovering a breach of unsecured PHI, including information reasonably available to support Covered Entity's notification obligations.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Subcontractors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Business Associate will ensure that subcontractors that create, receive, maintain, or transmit PHI agree in writing to restrictions and conditions at least as protective as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Individual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Business Associate will reasonably assist Covered Entity with access, amendment, accounting, restriction, and other individual-rights requests relating to PHI.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Return or Destruction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Upon termination, Business Associate will return or destroy PHI if feasible. If return or destruction is infeasible, Business Associate will continue protections and limit further uses and disclosures.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Covered Entity may terminate this Agreement for material breach if Business Associate fails to cure within </w:t>
      </w:r>
      <w:r>
        <w:rPr>
          <w:rFonts w:ascii="Calibri" w:hAnsi="Calibri"/>
          <w:sz w:val="22"/>
          <w:highlight w:val="yellow"/>
        </w:rPr>
        <w:t>[30]</w:t>
      </w:r>
      <w:r>
        <w:rPr>
          <w:rFonts w:ascii="Calibri" w:hAnsi="Calibri"/>
          <w:sz w:val="22"/>
        </w:rPr>
        <w:t xml:space="preserve"> days after written notice.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Associate Agreement (BAA) Template</dc:title>
  <dc:creator>Arca</dc:creator>
  <cp:lastModifiedBy>Arca</cp:lastModifiedBy>
</cp:coreProperties>
</file>