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MASTER SERVICE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a starting point for B2B SaaS providers contracting through order forms and subscription terms.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master service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Master Service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Master Service Agreement is entered into by and between </w:t>
      </w:r>
      <w:r>
        <w:rPr>
          <w:rFonts w:ascii="Calibri" w:hAnsi="Calibri"/>
          <w:sz w:val="22"/>
          <w:highlight w:val="yellow"/>
        </w:rPr>
        <w:t>[Provider]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[Customer]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Orders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may enter into order forms describing subscriptions, users, fees, term, usage limits, and special terms.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Access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Provider grants Customer a limited, non-exclusive, non-transferable right to access and use the service during the subscription term for internal business purposes.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Customer will not copy, modify, reverse engineer, resell, sublicense, or use the service to build a competing product or for unlawful purposes.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Customer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Customer retains ownership of Customer Data. Provider may process Customer Data to provide, secure, support, and improve the service, subject to applicable data processing terms.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Security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Provider will maintain commercially reasonable administrative, technical, and physical safeguards designed to protect Customer Data.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Support and Availability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Provider will provide support and availability commitments described in the applicable order form or support policy.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Fees and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Customer will pay fees stated in the applicable order form. Fees are non-cancelable and non-refundable except as expressly stated.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Warranties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Provider warrants that the service will perform materially in accordance with the documentation. Customer's exclusive remedy is correction or refund of prepaid unused fees.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Indemnification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Provider will defend Customer from third-party claims that the service infringes intellectual property rights, subject to standard exclusions.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Limitation of Liability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Neither party is liable for indirect damages. Aggregate liability is capped at fees paid or payable in the </w:t>
      </w:r>
      <w:r>
        <w:rPr>
          <w:rFonts w:ascii="Calibri" w:hAnsi="Calibri"/>
          <w:sz w:val="22"/>
          <w:highlight w:val="yellow"/>
        </w:rPr>
        <w:t>[12]</w:t>
      </w:r>
      <w:r>
        <w:rPr>
          <w:rFonts w:ascii="Calibri" w:hAnsi="Calibri"/>
          <w:sz w:val="22"/>
        </w:rPr>
        <w:t xml:space="preserve"> months before the claim, except for agreed exclusions.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Either party may terminate for uncured material breach. Upon termination, Customer access ends and Customer Data export rights apply for </w:t>
      </w:r>
      <w:r>
        <w:rPr>
          <w:rFonts w:ascii="Calibri" w:hAnsi="Calibri"/>
          <w:sz w:val="22"/>
          <w:highlight w:val="yellow"/>
        </w:rPr>
        <w:t>[30]</w:t>
      </w:r>
      <w:r>
        <w:rPr>
          <w:rFonts w:ascii="Calibri" w:hAnsi="Calibri"/>
          <w:sz w:val="22"/>
        </w:rPr>
        <w:t xml:space="preserve"> days.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Master Service Agreement Template</dc:title>
  <dc:creator>Arca</dc:creator>
  <cp:lastModifiedBy>Arca</cp:lastModifiedBy>
</cp:coreProperties>
</file>